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center"/>
        <w:rPr>
          <w:color w:val="000000"/>
        </w:rPr>
      </w:pPr>
      <w:bookmarkStart w:colFirst="0" w:colLast="0" w:name="_heading=h.o89w9bs6ogrs" w:id="0"/>
      <w:bookmarkEnd w:id="0"/>
      <w:r w:rsidDel="00000000" w:rsidR="00000000" w:rsidRPr="00000000">
        <w:rPr>
          <w:color w:val="000000"/>
          <w:rtl w:val="0"/>
        </w:rPr>
        <w:t xml:space="preserve">Robin C. Hoffpauir </w:t>
      </w:r>
    </w:p>
    <w:p w:rsidR="00000000" w:rsidDel="00000000" w:rsidP="00000000" w:rsidRDefault="00000000" w:rsidRPr="00000000" w14:paraId="00000002">
      <w:pPr>
        <w:pStyle w:val="Heading4"/>
        <w:spacing w:line="360" w:lineRule="auto"/>
        <w:jc w:val="center"/>
        <w:rPr>
          <w:color w:val="000000"/>
          <w:sz w:val="22"/>
          <w:szCs w:val="22"/>
        </w:rPr>
      </w:pPr>
      <w:bookmarkStart w:colFirst="0" w:colLast="0" w:name="_heading=h.xu9tz3touxe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Mary Esther, Florida, 32569, United States </w:t>
      </w:r>
    </w:p>
    <w:p w:rsidR="00000000" w:rsidDel="00000000" w:rsidP="00000000" w:rsidRDefault="00000000" w:rsidRPr="00000000" w14:paraId="00000003">
      <w:pPr>
        <w:pStyle w:val="Heading4"/>
        <w:spacing w:line="360" w:lineRule="auto"/>
        <w:jc w:val="center"/>
        <w:rPr>
          <w:color w:val="000000"/>
          <w:sz w:val="22"/>
          <w:szCs w:val="22"/>
        </w:rPr>
      </w:pPr>
      <w:bookmarkStart w:colFirst="0" w:colLast="0" w:name="_heading=h.zbid4f5cz9wu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8502257539 | hoffpauirrobin@gmail.com </w:t>
      </w:r>
    </w:p>
    <w:p w:rsidR="00000000" w:rsidDel="00000000" w:rsidP="00000000" w:rsidRDefault="00000000" w:rsidRPr="00000000" w14:paraId="00000004">
      <w:pPr>
        <w:pStyle w:val="Heading4"/>
        <w:spacing w:line="360" w:lineRule="auto"/>
        <w:ind w:left="0" w:firstLine="0"/>
        <w:jc w:val="center"/>
        <w:rPr>
          <w:color w:val="000000"/>
        </w:rPr>
      </w:pPr>
      <w:bookmarkStart w:colFirst="0" w:colLast="0" w:name="_heading=h.op18jj9symcb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robinhoffpauir.github.io| Linkedin.com/in/robinchoffpauir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color w:val="00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76" w:lineRule="auto"/>
        <w:rPr/>
      </w:pPr>
      <w:bookmarkStart w:colFirst="0" w:colLast="0" w:name="_heading=h.jtroyhl85sw6" w:id="4"/>
      <w:bookmarkEnd w:id="4"/>
      <w:r w:rsidDel="00000000" w:rsidR="00000000" w:rsidRPr="00000000">
        <w:rPr>
          <w:rtl w:val="0"/>
        </w:rPr>
        <w:t xml:space="preserve">9+ years SaaS GTM expert | Solutions &amp; Cloud Platforms</w:t>
      </w:r>
    </w:p>
    <w:p w:rsidR="00000000" w:rsidDel="00000000" w:rsidP="00000000" w:rsidRDefault="00000000" w:rsidRPr="00000000" w14:paraId="00000007">
      <w:pPr>
        <w:spacing w:line="276" w:lineRule="auto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Sales leader with nearly a decade driving enterprise SaaS and platform revenue through repeatable GTM execution, partner-led growth, and disciplined forecasting. Proven track record of 130%+ quota attainment, $17M ARR ownership, and building sales systems that improve forecast accuracy, win rates, and deal size. Known for turning complex sales motions into scalable, predictable revenue engines.</w:t>
      </w:r>
    </w:p>
    <w:p w:rsidR="00000000" w:rsidDel="00000000" w:rsidP="00000000" w:rsidRDefault="00000000" w:rsidRPr="00000000" w14:paraId="00000008">
      <w:pPr>
        <w:spacing w:line="276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line="276" w:lineRule="auto"/>
        <w:rPr/>
      </w:pPr>
      <w:bookmarkStart w:colFirst="0" w:colLast="0" w:name="_heading=h.hh0x6035ne9o" w:id="5"/>
      <w:bookmarkEnd w:id="5"/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0A">
      <w:pPr>
        <w:pStyle w:val="Heading3"/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Solutions Sales Manager, Navagis Inc.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4" w:before="0" w:line="276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Oct 2024 — Present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Owned $17M ARR and led a six-member North America sales team, aligning direct sales, and partner co-sell motions into a unified GTM model.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Built a scalable revenue operating system including pipeline reviews, forecast discipline, QBRs, and performance dashboards, improving forecast accuracy by ~23%.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Launched and scaled a Google Cloud co-sell program generating $8M in partner-sourced pipeline and elevating Navagis to #1 ARR partner status.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Drove 40%+ pipeline growth through verticalized GTM execution and partner-led demand generation.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4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Increased enterprise win rates to 33% and average deal size by 20% through seller coaching, qualification rigor, and structured deal reviews.</w:t>
      </w:r>
    </w:p>
    <w:p w:rsidR="00000000" w:rsidDel="00000000" w:rsidP="00000000" w:rsidRDefault="00000000" w:rsidRPr="00000000" w14:paraId="00000011">
      <w:pPr>
        <w:pStyle w:val="Heading3"/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Channel Sales Manager, ISI Analytics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4" w:before="0" w:line="276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Jun 2022 — Sep 2024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Owned regional revenue strategy across direct and partner channels, delivering 132%+ quota attainment for eight consecutive quarters.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Drove 105% year-over-year revenue growth by aligning partner-led demand, enterprise direct sales, and pricing strategy into a unified GTM motion.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Negotiated and closed enterprise contracts while redesigning pricing and packaging models, doubling average deal size.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Built account-based selling and CRM governance frameworks that improved forecast accuracy by 18% and increased late-stage deal conversion.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Partnered with marketing to develop verticalized playbooks and campaigns, consistently generating 25+ qualified enterprise opportunities per quarter.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4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Acted as player-coach for enterprise sellers, leading deal strategy, pricing reviews, and executive negotiations.</w:t>
      </w:r>
    </w:p>
    <w:p w:rsidR="00000000" w:rsidDel="00000000" w:rsidP="00000000" w:rsidRDefault="00000000" w:rsidRPr="00000000" w14:paraId="00000019">
      <w:pPr>
        <w:pStyle w:val="Heading3"/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Founder &amp; Head of Sales, Parlayking LTD, Denver, Colorado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4" w:before="0" w:line="276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May 2020 — Jun 2022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Founded and led GTM, sales, and partnerships for a SaaS analytics startup from inception through acquisition.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Owned revenue strategy, pricing, and pipeline execution, establishing repeatable sales motions to support predictable growth.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Built, hired, and managed a six-person revenue organization, implementing playbooks, KPIs, and compensation plans aligned to growth targets.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Established sales forecasting, pipeline hygiene, and performance reporting systems to support investor and operator decision-making.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Closed early enterprise customers and strategic partners, validating product-market fit and accelerating acquisition readiness.</w:t>
      </w:r>
    </w:p>
    <w:p w:rsidR="00000000" w:rsidDel="00000000" w:rsidP="00000000" w:rsidRDefault="00000000" w:rsidRPr="00000000" w14:paraId="00000020">
      <w:pPr>
        <w:pStyle w:val="Heading3"/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Account Executive, Compliance Solutions, Denver, Colorado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4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Aug 2018 — May 2020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Expanded enterprise customer base by 300% through consultative, value-based selling and partner enablement strategies.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Consistently exceeded monthly quotas by 10%+ while improving retention and expansion outcomes across enterprise accounts..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Introduced performance dashboards and forecasting models that improved revenue visibility and informed leadership decision-making.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Served as a top-performing enterprise seller and informal mentor, contributing to deal strategy and onboarding support for new hires.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spacing w:line="276" w:lineRule="auto"/>
        <w:rPr>
          <w:vertAlign w:val="baseline"/>
        </w:rPr>
      </w:pPr>
      <w:bookmarkStart w:colFirst="0" w:colLast="0" w:name="_heading=h.398dfrn644h0" w:id="6"/>
      <w:bookmarkEnd w:id="6"/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B.B.A. — Business Management</w:t>
      </w:r>
    </w:p>
    <w:p w:rsidR="00000000" w:rsidDel="00000000" w:rsidP="00000000" w:rsidRDefault="00000000" w:rsidRPr="00000000" w14:paraId="00000029">
      <w:pPr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Metropolitan State University of Denver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trike w:val="0"/>
          <w:color w:val="000000"/>
          <w:rtl w:val="0"/>
        </w:rPr>
        <w:t xml:space="preserve">(GPA: 3.69, Baseball Scholarship Recipient) </w:t>
      </w:r>
      <w:r w:rsidDel="00000000" w:rsidR="00000000" w:rsidRPr="00000000">
        <w:rPr>
          <w:rtl w:val="0"/>
        </w:rPr>
      </w:r>
    </w:p>
    <w:sectPr>
      <w:footerReference r:id="rId7" w:type="default"/>
      <w:pgSz w:h="16848" w:w="11952" w:orient="portrait"/>
      <w:pgMar w:bottom="680" w:top="680" w:left="680" w:right="6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T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color w:val="1e1e1e"/>
        <w:sz w:val="14"/>
        <w:szCs w:val="14"/>
      </w:rPr>
    </w:rPrDefault>
    <w:pPrDefault>
      <w:pPr>
        <w:spacing w:line="342.856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88" w:lineRule="auto"/>
    </w:pPr>
    <w:rPr>
      <w:rFonts w:ascii="PT Serif" w:cs="PT Serif" w:eastAsia="PT Serif" w:hAnsi="PT Serif"/>
      <w:b w:val="1"/>
      <w:bCs w:val="1"/>
      <w:color w:val="1e1e1e"/>
      <w:sz w:val="28"/>
      <w:szCs w:val="28"/>
    </w:rPr>
  </w:style>
  <w:style w:type="paragraph" w:styleId="Heading2">
    <w:name w:val="heading 2"/>
    <w:basedOn w:val="Normal"/>
    <w:next w:val="Normal"/>
    <w:pPr>
      <w:spacing w:line="288" w:lineRule="auto"/>
    </w:pPr>
    <w:rPr>
      <w:rFonts w:ascii="PT Serif" w:cs="PT Serif" w:eastAsia="PT Serif" w:hAnsi="PT Serif"/>
      <w:b w:val="1"/>
      <w:bCs w:val="1"/>
      <w:color w:val="1e1e1e"/>
      <w:sz w:val="20"/>
      <w:szCs w:val="20"/>
    </w:rPr>
  </w:style>
  <w:style w:type="paragraph" w:styleId="Heading3">
    <w:name w:val="heading 3"/>
    <w:basedOn w:val="Normal"/>
    <w:next w:val="Normal"/>
    <w:pPr>
      <w:spacing w:after="32" w:line="300" w:lineRule="auto"/>
    </w:pPr>
    <w:rPr>
      <w:b w:val="1"/>
      <w:bCs w:val="1"/>
      <w:sz w:val="16"/>
      <w:szCs w:val="16"/>
    </w:rPr>
  </w:style>
  <w:style w:type="paragraph" w:styleId="Heading4">
    <w:name w:val="heading 4"/>
    <w:basedOn w:val="Normal"/>
    <w:next w:val="Normal"/>
    <w:pPr/>
    <w:rPr>
      <w:i w:val="1"/>
      <w:iCs w:val="1"/>
      <w:color w:val="2e74b5"/>
    </w:rPr>
  </w:style>
  <w:style w:type="paragraph" w:styleId="Heading5">
    <w:name w:val="heading 5"/>
    <w:basedOn w:val="Normal"/>
    <w:next w:val="Normal"/>
    <w:pPr/>
    <w:rPr>
      <w:color w:val="2e74b5"/>
    </w:rPr>
  </w:style>
  <w:style w:type="paragraph" w:styleId="Heading6">
    <w:name w:val="heading 6"/>
    <w:basedOn w:val="Normal"/>
    <w:next w:val="Normal"/>
    <w:pPr/>
    <w:rPr>
      <w:color w:val="1f4d78"/>
    </w:rPr>
  </w:style>
  <w:style w:type="paragraph" w:styleId="Title">
    <w:name w:val="Title"/>
    <w:basedOn w:val="Normal"/>
    <w:next w:val="Normal"/>
    <w:pPr/>
    <w:rPr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erif-regular.ttf"/><Relationship Id="rId2" Type="http://schemas.openxmlformats.org/officeDocument/2006/relationships/font" Target="fonts/PTSerif-bold.ttf"/><Relationship Id="rId3" Type="http://schemas.openxmlformats.org/officeDocument/2006/relationships/font" Target="fonts/PTSerif-italic.ttf"/><Relationship Id="rId4" Type="http://schemas.openxmlformats.org/officeDocument/2006/relationships/font" Target="fonts/PTSerif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L/7R876yGBpBSul5UH5zaOpRoQ==">CgMxLjAyDmgubzg5dzliczZvZ3JzMg1oLnh1OXR6M3RvdXhlMg5oLnpiaWQ0ZjVjejl3dTIOaC5vcDE4amo5c3ltY2IyDmguanRyb3lobDg1c3c2Mg5oLmhoMHg2MDM1bmU5bzIOaC4zOThkZnJuNjQ0aDA4AHIhMWg0NTZrRFc0UG9kMXBzRkdwV0MyWmdsWkpaSEtXR1hZ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